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02936FF1"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352D8D">
        <w:t>2</w:t>
      </w:r>
      <w:r w:rsidR="006A3E33">
        <w:t>4</w:t>
      </w:r>
      <w:r w:rsidR="005420B4" w:rsidRPr="00893890">
        <w:t>.</w:t>
      </w:r>
      <w:r w:rsidR="00296EFF">
        <w:t xml:space="preserve"> </w:t>
      </w:r>
      <w:r w:rsidR="006E5C5D">
        <w:t>ledna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3D9D9061" w:rsidR="004D79D4" w:rsidRDefault="006A3E33" w:rsidP="00352D8D">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Očekávání </w:t>
      </w:r>
      <w:proofErr w:type="spellStart"/>
      <w:r w:rsidR="009F1649">
        <w:rPr>
          <w:rStyle w:val="normaltextrun"/>
          <w:rFonts w:ascii="Arial" w:hAnsi="Arial" w:cs="Arial"/>
          <w:b/>
          <w:bCs/>
          <w:color w:val="000000"/>
          <w:sz w:val="28"/>
          <w:szCs w:val="28"/>
          <w:lang w:val="cs-CZ"/>
        </w:rPr>
        <w:t>Fidelity</w:t>
      </w:r>
      <w:proofErr w:type="spellEnd"/>
      <w:r w:rsidR="009F1649">
        <w:rPr>
          <w:rStyle w:val="normaltextrun"/>
          <w:rFonts w:ascii="Arial" w:hAnsi="Arial" w:cs="Arial"/>
          <w:b/>
          <w:bCs/>
          <w:color w:val="000000"/>
          <w:sz w:val="28"/>
          <w:szCs w:val="28"/>
          <w:lang w:val="cs-CZ"/>
        </w:rPr>
        <w:t xml:space="preserve"> Inter</w:t>
      </w:r>
      <w:r w:rsidR="005F4989">
        <w:rPr>
          <w:rStyle w:val="normaltextrun"/>
          <w:rFonts w:ascii="Arial" w:hAnsi="Arial" w:cs="Arial"/>
          <w:b/>
          <w:bCs/>
          <w:color w:val="000000"/>
          <w:sz w:val="28"/>
          <w:szCs w:val="28"/>
          <w:lang w:val="cs-CZ"/>
        </w:rPr>
        <w:t xml:space="preserve">national: </w:t>
      </w:r>
      <w:r>
        <w:rPr>
          <w:rStyle w:val="normaltextrun"/>
          <w:rFonts w:ascii="Arial" w:hAnsi="Arial" w:cs="Arial"/>
          <w:b/>
          <w:bCs/>
          <w:color w:val="000000"/>
          <w:sz w:val="28"/>
          <w:szCs w:val="28"/>
          <w:lang w:val="cs-CZ"/>
        </w:rPr>
        <w:t>Den první Trumpa 2.0</w:t>
      </w:r>
    </w:p>
    <w:p w14:paraId="61504C6E" w14:textId="1533F7A9" w:rsidR="00DA3B92" w:rsidRPr="00755878" w:rsidRDefault="006A3E33"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První den v úřadu prezidenta Trumpa byl v souladu s jeho předvolebními sliby a zdůrazňoval na několik hlavních priorit jeho voličské základny </w:t>
      </w:r>
      <w:r w:rsidRPr="006A3E33">
        <w:rPr>
          <w:rFonts w:asciiTheme="minorHAnsi" w:hAnsiTheme="minorHAnsi" w:cstheme="minorHAnsi"/>
          <w:b/>
          <w:bCs/>
          <w:sz w:val="24"/>
          <w:szCs w:val="24"/>
        </w:rPr>
        <w:t>– kontrolu imigrace, snížení inflace uvolněním amerických surovin a snížení vládní regulace. Domníváme se, že změny v imigrační politice jsou z makroekonomického hlediska nejvýznamnější z jeho prvních kroků ve funkci prezidenta, a v následujících týdnech budeme pozorně sledovat vývoj v oblasti obchodní politiky.</w:t>
      </w:r>
    </w:p>
    <w:p w14:paraId="6C3529E8" w14:textId="7F887F86" w:rsidR="0090004B" w:rsidRPr="0090004B" w:rsidRDefault="006A3E33" w:rsidP="00154229">
      <w:pPr>
        <w:spacing w:line="360" w:lineRule="auto"/>
        <w:rPr>
          <w:rFonts w:asciiTheme="minorHAnsi" w:hAnsiTheme="minorHAnsi" w:cstheme="minorHAnsi"/>
          <w:b/>
          <w:bCs/>
          <w:sz w:val="24"/>
          <w:szCs w:val="24"/>
        </w:rPr>
      </w:pPr>
      <w:r>
        <w:rPr>
          <w:rFonts w:asciiTheme="minorHAnsi" w:hAnsiTheme="minorHAnsi" w:cstheme="minorHAnsi"/>
          <w:b/>
          <w:bCs/>
          <w:sz w:val="24"/>
          <w:szCs w:val="24"/>
        </w:rPr>
        <w:t>Co se stalo?</w:t>
      </w:r>
    </w:p>
    <w:p w14:paraId="04D8105B" w14:textId="77777777" w:rsidR="006A3E33" w:rsidRDefault="006A3E33" w:rsidP="006A3E33">
      <w:r>
        <w:t xml:space="preserve">Donald Trump se v pondělí podruhé ujal úřadu a stal se 47. prezidentem Spojených států. Ve svém inauguračním projevu slíbil, že pro Američany vytvoří zlatý věk a zavede svůj program America </w:t>
      </w:r>
      <w:proofErr w:type="spellStart"/>
      <w:r>
        <w:t>first</w:t>
      </w:r>
      <w:proofErr w:type="spellEnd"/>
      <w:r>
        <w:t xml:space="preserve">. Mezi jeho první kroky patřilo podepsání 26 exekutivních nařízení, včetně vyhlášení stavu nouze na jižní hranici, stavu nouze v energetice, omezení vládní regulace a zrušení osmasedmdesáti exekutivních opatření a nařízení z </w:t>
      </w:r>
      <w:proofErr w:type="spellStart"/>
      <w:r>
        <w:t>Bidenovy</w:t>
      </w:r>
      <w:proofErr w:type="spellEnd"/>
      <w:r>
        <w:t xml:space="preserve"> éry. </w:t>
      </w:r>
    </w:p>
    <w:p w14:paraId="43C23D53" w14:textId="77777777" w:rsidR="006A3E33" w:rsidRDefault="006A3E33" w:rsidP="006A3E33">
      <w:r>
        <w:t xml:space="preserve">Mezi nejvýraznější patřily exekutivní příkazy týkající se imigrace a ochrany hranic – obnovení politiky „zůstaňte v Mexiku“, aktivace zákona o </w:t>
      </w:r>
      <w:proofErr w:type="spellStart"/>
      <w:r w:rsidRPr="00061CA3">
        <w:t>Alien</w:t>
      </w:r>
      <w:proofErr w:type="spellEnd"/>
      <w:r w:rsidRPr="00061CA3">
        <w:t xml:space="preserve"> </w:t>
      </w:r>
      <w:proofErr w:type="spellStart"/>
      <w:r w:rsidRPr="00061CA3">
        <w:t>Enemies</w:t>
      </w:r>
      <w:proofErr w:type="spellEnd"/>
      <w:r w:rsidRPr="00061CA3">
        <w:t xml:space="preserve"> </w:t>
      </w:r>
      <w:proofErr w:type="spellStart"/>
      <w:r w:rsidRPr="00061CA3">
        <w:t>Act</w:t>
      </w:r>
      <w:proofErr w:type="spellEnd"/>
      <w:r w:rsidRPr="00061CA3">
        <w:t xml:space="preserve"> </w:t>
      </w:r>
      <w:r>
        <w:t>z roku 1798, označení drogových kartelů jako teroristických organizací a ukončení usídlování uprchlíků a dalších programů pro žadatele o azyl.</w:t>
      </w:r>
    </w:p>
    <w:p w14:paraId="01318B41" w14:textId="1CA37D97" w:rsidR="006A3E33" w:rsidRPr="006A3E33" w:rsidRDefault="006A3E33" w:rsidP="006A3E33">
      <w:r>
        <w:t xml:space="preserve">V oblasti obchodní politiky Bílý dům předložil komplexní plán na prošetření různých obchodních vztahů, včetně nekalých obchodních praktik, devizové politiky, posouzení stávajících obchodních dohod, přehodnocení statusu </w:t>
      </w:r>
      <w:proofErr w:type="spellStart"/>
      <w:r w:rsidRPr="00061CA3">
        <w:t>China’s</w:t>
      </w:r>
      <w:proofErr w:type="spellEnd"/>
      <w:r w:rsidRPr="00061CA3">
        <w:t xml:space="preserve"> Permanent </w:t>
      </w:r>
      <w:proofErr w:type="spellStart"/>
      <w:r w:rsidRPr="00061CA3">
        <w:t>Normal</w:t>
      </w:r>
      <w:proofErr w:type="spellEnd"/>
      <w:r w:rsidRPr="00061CA3">
        <w:t xml:space="preserve"> </w:t>
      </w:r>
      <w:proofErr w:type="spellStart"/>
      <w:r w:rsidRPr="00061CA3">
        <w:t>Trade</w:t>
      </w:r>
      <w:proofErr w:type="spellEnd"/>
      <w:r w:rsidRPr="00061CA3">
        <w:t xml:space="preserve"> Relations</w:t>
      </w:r>
      <w:r>
        <w:t xml:space="preserve"> – obchodních vztahů s Čínou a výzvy k případnému zavedení cel. Prezident Trump navíc později potvrdil, že od 1. února 2025 by mohla být uvalena 25% cla na dovoz z Mexika a Kanady.</w:t>
      </w:r>
    </w:p>
    <w:p w14:paraId="2A51DD6E" w14:textId="77777777" w:rsidR="006A3E33" w:rsidRDefault="006A3E33" w:rsidP="006A3E33">
      <w:r>
        <w:t xml:space="preserve">Dalším z Trumpových prvních kroků ve funkci prezidenta bylo omezení vládní regulace. Oznámil vytvoření Oddělení pro efektivitu vlády </w:t>
      </w:r>
      <w:r w:rsidRPr="00061CA3">
        <w:t xml:space="preserve">Department </w:t>
      </w:r>
      <w:proofErr w:type="spellStart"/>
      <w:r w:rsidRPr="00061CA3">
        <w:t>of</w:t>
      </w:r>
      <w:proofErr w:type="spellEnd"/>
      <w:r w:rsidRPr="00061CA3">
        <w:t xml:space="preserve"> </w:t>
      </w:r>
      <w:proofErr w:type="spellStart"/>
      <w:r w:rsidRPr="00061CA3">
        <w:t>government</w:t>
      </w:r>
      <w:proofErr w:type="spellEnd"/>
      <w:r w:rsidRPr="00061CA3">
        <w:t xml:space="preserve"> </w:t>
      </w:r>
      <w:proofErr w:type="spellStart"/>
      <w:r w:rsidRPr="00061CA3">
        <w:t>efficiency</w:t>
      </w:r>
      <w:proofErr w:type="spellEnd"/>
      <w:r w:rsidRPr="00061CA3">
        <w:t xml:space="preserve"> </w:t>
      </w:r>
      <w:r>
        <w:t xml:space="preserve">(DOGE) a prosadil zmrazení jakýchkoli nových regulací ze strany úředníků a přijímání federálních zaměstnanců. V souladu se svou politikou America </w:t>
      </w:r>
      <w:proofErr w:type="spellStart"/>
      <w:r>
        <w:t>First</w:t>
      </w:r>
      <w:proofErr w:type="spellEnd"/>
      <w:r>
        <w:t xml:space="preserve"> odstoupil od Pařížského klimatického paktu </w:t>
      </w:r>
      <w:r w:rsidRPr="00061CA3">
        <w:t xml:space="preserve">Paris </w:t>
      </w:r>
      <w:proofErr w:type="spellStart"/>
      <w:r w:rsidRPr="00061CA3">
        <w:t>climate</w:t>
      </w:r>
      <w:proofErr w:type="spellEnd"/>
      <w:r w:rsidRPr="00061CA3">
        <w:t xml:space="preserve"> </w:t>
      </w:r>
      <w:proofErr w:type="spellStart"/>
      <w:r w:rsidRPr="00061CA3">
        <w:t>pact</w:t>
      </w:r>
      <w:proofErr w:type="spellEnd"/>
      <w:r>
        <w:t xml:space="preserve"> a Světové zdravotnické organizace WHO a slíbil, že převezme zpět kontrolu nad Panamským průplavem. Nebyla učiněna žádná prohlášení týkající se fiskální politiky, neboť ta spadá do kompetence Kongresu.</w:t>
      </w:r>
    </w:p>
    <w:p w14:paraId="23A00232" w14:textId="77777777" w:rsidR="006A3E33" w:rsidRDefault="006A3E33" w:rsidP="0090004B">
      <w:pPr>
        <w:spacing w:line="360" w:lineRule="auto"/>
        <w:rPr>
          <w:rFonts w:asciiTheme="minorHAnsi" w:hAnsiTheme="minorHAnsi" w:cstheme="minorHAnsi"/>
          <w:b/>
          <w:bCs/>
          <w:sz w:val="24"/>
          <w:szCs w:val="24"/>
        </w:rPr>
      </w:pPr>
    </w:p>
    <w:p w14:paraId="0D4F110A" w14:textId="77777777" w:rsidR="006A3E33" w:rsidRDefault="006A3E33" w:rsidP="0090004B">
      <w:pPr>
        <w:spacing w:line="360" w:lineRule="auto"/>
        <w:rPr>
          <w:rFonts w:asciiTheme="minorHAnsi" w:hAnsiTheme="minorHAnsi" w:cstheme="minorHAnsi"/>
          <w:b/>
          <w:bCs/>
          <w:sz w:val="24"/>
          <w:szCs w:val="24"/>
        </w:rPr>
      </w:pPr>
    </w:p>
    <w:p w14:paraId="575BF650" w14:textId="4C810950" w:rsidR="0090004B" w:rsidRPr="0090004B" w:rsidRDefault="006A3E33" w:rsidP="0090004B">
      <w:pPr>
        <w:spacing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 xml:space="preserve">Jak to vidí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w:t>
      </w:r>
    </w:p>
    <w:p w14:paraId="2B18B2A1" w14:textId="77777777" w:rsidR="006A3E33" w:rsidRDefault="006A3E33" w:rsidP="006A3E33">
      <w:r>
        <w:t>První den v úřadu prezidenta Trumpa byl v souladu s jeho předvolebními sliby, přičemž apeloval na několik hlavních priorit jeho základny voličů – kontrolu imigrace, snížení inflace uvolněním amerických energetických zdrojů a omezení vládní regulace.</w:t>
      </w:r>
    </w:p>
    <w:p w14:paraId="0F02061A" w14:textId="77777777" w:rsidR="006A3E33" w:rsidRDefault="006A3E33" w:rsidP="006A3E33">
      <w:r>
        <w:t xml:space="preserve">My ve </w:t>
      </w:r>
      <w:proofErr w:type="spellStart"/>
      <w:r>
        <w:t>Fidelity</w:t>
      </w:r>
      <w:proofErr w:type="spellEnd"/>
      <w:r>
        <w:t xml:space="preserve"> International se domníváme, že klíčovým důsledkem z </w:t>
      </w:r>
      <w:proofErr w:type="spellStart"/>
      <w:r>
        <w:t>makropohledu</w:t>
      </w:r>
      <w:proofErr w:type="spellEnd"/>
      <w:r>
        <w:t xml:space="preserve"> je změna imigrační politiky. Jestřábí postoj ohledně kontrol na hranicích, který prezident Trump zaujal, by měl výrazně snížit čisté migrační toky a v krátkodobém horizontu působit proinflačně, protože inflační šok z úbytku pracovní síly, který tlačí na růst mezd, převáží nad negativním poptávkovým šokem. V dlouhodobějším horizontu ale očekáváme, že tento poptávkový šok začne převažovat, protože efekty přenosu na zbytek pracovní síly sníží růst USA. </w:t>
      </w:r>
    </w:p>
    <w:p w14:paraId="608B93DE" w14:textId="5C6C7FED" w:rsidR="006A3E33" w:rsidRPr="006A3E33" w:rsidRDefault="006A3E33" w:rsidP="006A3E33">
      <w:r>
        <w:t xml:space="preserve">Zatím méně provokativní přístup k obchodu je dobrým znamením pro inflační rizika v nejbližším období. Podpořilo to finanční situaci a rizikový sentiment, což způsobilo růst akcií i dluhopisů a oslabení dolaru. Hrozba cel však bude udržovat zvýšenou volatilitu na trhu, a </w:t>
      </w:r>
      <w:proofErr w:type="gramStart"/>
      <w:r>
        <w:t>to</w:t>
      </w:r>
      <w:proofErr w:type="gramEnd"/>
      <w:r>
        <w:t xml:space="preserve"> dokud se situace bude vyvíjet. V konečném důsledku stále hrozí možnost globální obchodní války. Sledování případných odvetných opatření od dalších obchodních partnerů bude v nadcházejících dnech a týdnech klíčové, zejména pokud jde o používání pravidel IEEPA.  </w:t>
      </w:r>
    </w:p>
    <w:p w14:paraId="640D5E24" w14:textId="7DCA02EE" w:rsidR="0090004B" w:rsidRPr="0090004B" w:rsidRDefault="006A3E33" w:rsidP="0090004B">
      <w:pPr>
        <w:spacing w:line="360" w:lineRule="auto"/>
        <w:rPr>
          <w:rFonts w:asciiTheme="minorHAnsi" w:hAnsiTheme="minorHAnsi" w:cstheme="minorHAnsi"/>
          <w:b/>
          <w:bCs/>
          <w:sz w:val="24"/>
          <w:szCs w:val="24"/>
        </w:rPr>
      </w:pPr>
      <w:r>
        <w:rPr>
          <w:rFonts w:asciiTheme="minorHAnsi" w:hAnsiTheme="minorHAnsi" w:cstheme="minorHAnsi"/>
          <w:b/>
          <w:bCs/>
          <w:sz w:val="24"/>
          <w:szCs w:val="24"/>
        </w:rPr>
        <w:t>Očekávání</w:t>
      </w:r>
    </w:p>
    <w:p w14:paraId="1C4D86AD" w14:textId="77777777" w:rsidR="006A3E33" w:rsidRDefault="006A3E33" w:rsidP="006A3E33">
      <w:r>
        <w:t>Současná absence cel na dovoz z Číny by měla vzbudit určitou dočasnou úlevu jak v Číně, tak u dalších významných asijských vývozců, zatímco Trumpova administrativa přehodnotí obchodní praktiky a různé dohody. Nová administrativa je však stále velmi mladá a je možné, že bude chtít využít cla jako páku pro jednání s Čínou a dalšími významnými obchodními partnery USA.</w:t>
      </w:r>
    </w:p>
    <w:p w14:paraId="42323AAE" w14:textId="34F4F2B4" w:rsidR="006A3E33" w:rsidRDefault="006A3E33" w:rsidP="006A3E33">
      <w:r>
        <w:t xml:space="preserve">Domníváme se, že stále existuje riziko zvýšení cel, zejména právě vůči Číně. Z poznámky Bílého domu a plánů na prodloužení fungování </w:t>
      </w:r>
      <w:proofErr w:type="spellStart"/>
      <w:r>
        <w:t>TikToku</w:t>
      </w:r>
      <w:proofErr w:type="spellEnd"/>
      <w:r>
        <w:t xml:space="preserve"> vyplývá, že obchodní a celní rizika by se mohla začátkem dubna opět rozhořet. Mezitím zůstává ve hře i hrozba cel vůči dalším zemím, včetně EU, pravděpodobně pokud nezvýší americký dovoz z oblasti energetiky. </w:t>
      </w:r>
    </w:p>
    <w:p w14:paraId="5B3A2DD6" w14:textId="77777777" w:rsidR="006A3E33" w:rsidRDefault="006A3E33" w:rsidP="006A3E33">
      <w:r>
        <w:t>Kromě toho by se mohla zpřísnit i imigrační politika, a to se snahou zvýšit deportace a dále omezit migrační toky. Trump už naznačil, že k aktivním deportacím a raziím ve velkých městech „dojde“, aniž by uvedl výslovný časový harmonogram. To ponechává zvýšená rizika dalšího šoku nabídky práce a vytváří proinflační rizika, zejména pokud deportace zahrnují velké vnitřní vystěhovávání.</w:t>
      </w:r>
    </w:p>
    <w:p w14:paraId="59ADDB8B" w14:textId="389B80CB" w:rsidR="004205FB" w:rsidRDefault="006A3E33" w:rsidP="006A3E33">
      <w:r>
        <w:t>V neposlední řadě mohou být tato první exekutivní nařízení právně napadena. Proti ministerstvu pro efektivitu vlády již byla podána žaloba, zatímco zrušení práva na občanství by vyžadovalo změnu ústavy dvoutřetinovou většinou v Kongresu. Zatím je ještě brzy a my budeme pozorně sledovat, jak se usadí tato oznámení z prvního dne, a i nové politiky, které teprve budou odhaleny.</w:t>
      </w:r>
    </w:p>
    <w:p w14:paraId="337B59C9" w14:textId="56F5F314" w:rsidR="004205FB" w:rsidRPr="004205FB" w:rsidRDefault="006A3E33" w:rsidP="004205FB">
      <w:pPr>
        <w:rPr>
          <w:rFonts w:asciiTheme="minorHAnsi" w:hAnsiTheme="minorHAnsi" w:cstheme="minorHAnsi"/>
          <w:b/>
          <w:bCs/>
          <w:sz w:val="24"/>
          <w:szCs w:val="24"/>
        </w:rPr>
      </w:pPr>
      <w:r>
        <w:rPr>
          <w:rFonts w:asciiTheme="minorHAnsi" w:hAnsiTheme="minorHAnsi" w:cstheme="minorHAnsi"/>
          <w:b/>
          <w:bCs/>
          <w:sz w:val="24"/>
          <w:szCs w:val="24"/>
        </w:rPr>
        <w:t xml:space="preserve">Jak se nyní podle názoru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změní pohled na alokaci aktiv?</w:t>
      </w:r>
    </w:p>
    <w:p w14:paraId="716C0A69" w14:textId="77777777" w:rsidR="006A3E33" w:rsidRDefault="006A3E33" w:rsidP="006A3E33">
      <w:r>
        <w:t xml:space="preserve">Názor týmu </w:t>
      </w:r>
      <w:proofErr w:type="spellStart"/>
      <w:r>
        <w:t>Solutions</w:t>
      </w:r>
      <w:proofErr w:type="spellEnd"/>
      <w:r>
        <w:t xml:space="preserve"> &amp; </w:t>
      </w:r>
      <w:proofErr w:type="spellStart"/>
      <w:r>
        <w:t>Multi</w:t>
      </w:r>
      <w:proofErr w:type="spellEnd"/>
      <w:r>
        <w:t xml:space="preserve"> </w:t>
      </w:r>
      <w:proofErr w:type="spellStart"/>
      <w:r>
        <w:t>Asset</w:t>
      </w:r>
      <w:proofErr w:type="spellEnd"/>
      <w:r>
        <w:t xml:space="preserve"> zůstává podstupovat riziko - „risk on“, což je vyjádřeno nadváhou akcií a preferencí zejména amerických akcií. V případě úvěrů zůstáváme navzdory silným fundamentům neutrální vzhledem k úzkým spreadů. Neutrální jsme také u státních dluhopisů, to odráží zvýšené riziko </w:t>
      </w:r>
      <w:r>
        <w:lastRenderedPageBreak/>
        <w:t>inflačních tlaků. Jinak si zachováváme pozitivní postoj vůči americkému dolaru. Zdá se, že výjimečnost USA bude pod vedením Donalda Trumpa pokračovat, takže i zaujímání pozic může „být protivětrem“ při alokaci aktiv.</w:t>
      </w:r>
    </w:p>
    <w:p w14:paraId="5F9F1627" w14:textId="25660F08" w:rsidR="00284D83" w:rsidRPr="00284D83" w:rsidRDefault="006D31D9" w:rsidP="006A3E33">
      <w:r>
        <w:rPr>
          <w:rFonts w:asciiTheme="minorHAnsi" w:hAnsiTheme="minorHAnsi" w:cstheme="minorHAnsi"/>
          <w:b/>
          <w:bCs/>
          <w:sz w:val="24"/>
          <w:szCs w:val="24"/>
        </w:rPr>
        <w:br/>
      </w:r>
    </w:p>
    <w:p w14:paraId="1E84F3E1" w14:textId="77777777" w:rsidR="006D31D9" w:rsidRDefault="006D31D9" w:rsidP="006D31D9">
      <w:pPr>
        <w:spacing w:before="0" w:line="240" w:lineRule="atLeast"/>
        <w:rPr>
          <w:b/>
        </w:rPr>
      </w:pPr>
      <w:r w:rsidRPr="00455A3C">
        <w:rPr>
          <w:b/>
        </w:rPr>
        <w:t>Pro více informací kontaktujte:</w:t>
      </w:r>
    </w:p>
    <w:p w14:paraId="6D8CC146" w14:textId="77777777" w:rsidR="006D31D9" w:rsidRDefault="006D31D9" w:rsidP="006D31D9">
      <w:pPr>
        <w:spacing w:before="0" w:line="240" w:lineRule="atLeast"/>
        <w:rPr>
          <w:b/>
        </w:rPr>
      </w:pPr>
      <w:r>
        <w:rPr>
          <w:b/>
        </w:rPr>
        <w:t>Eliška Krohová</w:t>
      </w:r>
    </w:p>
    <w:p w14:paraId="4BDF7FA8" w14:textId="77777777" w:rsidR="006D31D9" w:rsidRPr="00455A3C" w:rsidRDefault="006D31D9" w:rsidP="006D31D9">
      <w:pPr>
        <w:spacing w:before="0" w:line="240" w:lineRule="atLeast"/>
        <w:rPr>
          <w:b/>
          <w:bCs/>
        </w:rPr>
      </w:pPr>
      <w:proofErr w:type="spellStart"/>
      <w:r w:rsidRPr="00455A3C">
        <w:rPr>
          <w:b/>
          <w:bCs/>
        </w:rPr>
        <w:t>Crest</w:t>
      </w:r>
      <w:proofErr w:type="spellEnd"/>
      <w:r w:rsidRPr="00455A3C">
        <w:rPr>
          <w:b/>
          <w:bCs/>
        </w:rPr>
        <w:t xml:space="preserve"> Communications, a.s.</w:t>
      </w:r>
    </w:p>
    <w:p w14:paraId="58313928" w14:textId="77777777" w:rsidR="006D31D9" w:rsidRPr="00455A3C" w:rsidRDefault="006D31D9" w:rsidP="006D31D9">
      <w:pPr>
        <w:spacing w:before="0" w:line="240" w:lineRule="atLeast"/>
      </w:pPr>
    </w:p>
    <w:p w14:paraId="736A874C" w14:textId="77777777" w:rsidR="006D31D9" w:rsidRPr="00455A3C" w:rsidRDefault="006D31D9" w:rsidP="006D31D9">
      <w:pPr>
        <w:spacing w:before="0" w:line="240" w:lineRule="atLeast"/>
      </w:pPr>
      <w:r w:rsidRPr="00455A3C">
        <w:t>Ostrovní 126/30</w:t>
      </w:r>
    </w:p>
    <w:p w14:paraId="58D571A8" w14:textId="77777777" w:rsidR="006D31D9" w:rsidRPr="00455A3C" w:rsidRDefault="006D31D9" w:rsidP="006D31D9">
      <w:pPr>
        <w:spacing w:before="0" w:line="240" w:lineRule="atLeast"/>
      </w:pPr>
      <w:r w:rsidRPr="00455A3C">
        <w:t>110 00 Praha 1</w:t>
      </w:r>
    </w:p>
    <w:p w14:paraId="0F762E66" w14:textId="77777777" w:rsidR="006D31D9" w:rsidRPr="00455A3C" w:rsidRDefault="006D31D9" w:rsidP="006D31D9">
      <w:pPr>
        <w:spacing w:before="0" w:line="240" w:lineRule="atLeast"/>
      </w:pPr>
      <w:proofErr w:type="spellStart"/>
      <w:r>
        <w:t>gsm</w:t>
      </w:r>
      <w:proofErr w:type="spellEnd"/>
      <w:r>
        <w:t>: + 420 720 406 659</w:t>
      </w:r>
    </w:p>
    <w:p w14:paraId="43DEB5E7" w14:textId="77777777" w:rsidR="006D31D9" w:rsidRDefault="006D31D9" w:rsidP="006D31D9">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38A6317D" w14:textId="77777777" w:rsidR="006D31D9" w:rsidRDefault="006D31D9" w:rsidP="002027ED">
      <w:pPr>
        <w:shd w:val="clear" w:color="auto" w:fill="FFFFFF"/>
        <w:spacing w:before="0" w:line="360" w:lineRule="atLeast"/>
        <w:rPr>
          <w:b/>
          <w:bCs/>
        </w:rPr>
      </w:pPr>
    </w:p>
    <w:p w14:paraId="621D7100" w14:textId="1F1441E4" w:rsidR="006D31D9" w:rsidRDefault="006D31D9" w:rsidP="002027ED">
      <w:pPr>
        <w:shd w:val="clear" w:color="auto" w:fill="FFFFFF"/>
        <w:spacing w:before="0" w:line="360" w:lineRule="atLeast"/>
        <w:rPr>
          <w:b/>
          <w:bCs/>
        </w:rPr>
      </w:pPr>
    </w:p>
    <w:p w14:paraId="163D8DC9" w14:textId="5AC5676C"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w:t>
      </w:r>
      <w:r>
        <w:lastRenderedPageBreak/>
        <w:t>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2a,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160083C6" w:rsidR="00D20058" w:rsidRDefault="002E1D74" w:rsidP="00154229">
      <w:pPr>
        <w:pStyle w:val="F2-zkladn"/>
      </w:pPr>
      <w:r w:rsidRPr="002E1D74">
        <w:rPr>
          <w:lang w:val="de-AT"/>
        </w:rPr>
        <w:t>MKAT12740</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4C39" w14:textId="77777777" w:rsidR="00FC163B" w:rsidRDefault="00FC163B">
      <w:r>
        <w:separator/>
      </w:r>
    </w:p>
  </w:endnote>
  <w:endnote w:type="continuationSeparator" w:id="0">
    <w:p w14:paraId="62300483" w14:textId="77777777" w:rsidR="00FC163B" w:rsidRDefault="00FC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3973" w14:textId="77777777" w:rsidR="00FC163B" w:rsidRDefault="00FC163B">
      <w:r>
        <w:separator/>
      </w:r>
    </w:p>
  </w:footnote>
  <w:footnote w:type="continuationSeparator" w:id="0">
    <w:p w14:paraId="14310652" w14:textId="77777777" w:rsidR="00FC163B" w:rsidRDefault="00FC163B">
      <w:r>
        <w:continuationSeparator/>
      </w:r>
    </w:p>
  </w:footnote>
  <w:footnote w:type="continuationNotice" w:id="1">
    <w:p w14:paraId="2E37664A" w14:textId="77777777" w:rsidR="00FC163B" w:rsidRDefault="00FC1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7A71D6C"/>
    <w:multiLevelType w:val="hybridMultilevel"/>
    <w:tmpl w:val="AE961B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B73A26"/>
    <w:multiLevelType w:val="hybridMultilevel"/>
    <w:tmpl w:val="2C40F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9627A67"/>
    <w:multiLevelType w:val="hybridMultilevel"/>
    <w:tmpl w:val="39EA25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7"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6800DB"/>
    <w:multiLevelType w:val="hybridMultilevel"/>
    <w:tmpl w:val="B8760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6"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E0A2C93"/>
    <w:multiLevelType w:val="hybridMultilevel"/>
    <w:tmpl w:val="6570EE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3033605">
    <w:abstractNumId w:val="17"/>
  </w:num>
  <w:num w:numId="2" w16cid:durableId="146671352">
    <w:abstractNumId w:val="36"/>
  </w:num>
  <w:num w:numId="3" w16cid:durableId="1266381172">
    <w:abstractNumId w:val="44"/>
  </w:num>
  <w:num w:numId="4" w16cid:durableId="1719279861">
    <w:abstractNumId w:val="24"/>
  </w:num>
  <w:num w:numId="5" w16cid:durableId="118620334">
    <w:abstractNumId w:val="26"/>
  </w:num>
  <w:num w:numId="6" w16cid:durableId="1824814676">
    <w:abstractNumId w:val="22"/>
  </w:num>
  <w:num w:numId="7" w16cid:durableId="1926299718">
    <w:abstractNumId w:val="42"/>
  </w:num>
  <w:num w:numId="8" w16cid:durableId="1498184102">
    <w:abstractNumId w:val="29"/>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4"/>
  </w:num>
  <w:num w:numId="22" w16cid:durableId="2069836537">
    <w:abstractNumId w:val="12"/>
  </w:num>
  <w:num w:numId="23" w16cid:durableId="1663701074">
    <w:abstractNumId w:val="10"/>
  </w:num>
  <w:num w:numId="24" w16cid:durableId="661811107">
    <w:abstractNumId w:val="13"/>
  </w:num>
  <w:num w:numId="25" w16cid:durableId="367528897">
    <w:abstractNumId w:val="20"/>
  </w:num>
  <w:num w:numId="26" w16cid:durableId="66655553">
    <w:abstractNumId w:val="41"/>
  </w:num>
  <w:num w:numId="27" w16cid:durableId="1412049229">
    <w:abstractNumId w:val="33"/>
  </w:num>
  <w:num w:numId="28" w16cid:durableId="1854563770">
    <w:abstractNumId w:val="21"/>
  </w:num>
  <w:num w:numId="29" w16cid:durableId="1511022718">
    <w:abstractNumId w:val="23"/>
  </w:num>
  <w:num w:numId="30" w16cid:durableId="189878341">
    <w:abstractNumId w:val="25"/>
  </w:num>
  <w:num w:numId="31" w16cid:durableId="408891146">
    <w:abstractNumId w:val="35"/>
  </w:num>
  <w:num w:numId="32" w16cid:durableId="668292118">
    <w:abstractNumId w:val="45"/>
  </w:num>
  <w:num w:numId="33" w16cid:durableId="1545678938">
    <w:abstractNumId w:val="32"/>
  </w:num>
  <w:num w:numId="34" w16cid:durableId="334190881">
    <w:abstractNumId w:val="43"/>
  </w:num>
  <w:num w:numId="35" w16cid:durableId="867832294">
    <w:abstractNumId w:val="47"/>
  </w:num>
  <w:num w:numId="36" w16cid:durableId="1707019958">
    <w:abstractNumId w:val="14"/>
  </w:num>
  <w:num w:numId="37" w16cid:durableId="1229464119">
    <w:abstractNumId w:val="40"/>
  </w:num>
  <w:num w:numId="38" w16cid:durableId="1404453976">
    <w:abstractNumId w:val="16"/>
  </w:num>
  <w:num w:numId="39" w16cid:durableId="639572714">
    <w:abstractNumId w:val="30"/>
  </w:num>
  <w:num w:numId="40" w16cid:durableId="1181239656">
    <w:abstractNumId w:val="37"/>
  </w:num>
  <w:num w:numId="41" w16cid:durableId="1776094729">
    <w:abstractNumId w:val="46"/>
  </w:num>
  <w:num w:numId="42" w16cid:durableId="58788658">
    <w:abstractNumId w:val="27"/>
  </w:num>
  <w:num w:numId="43" w16cid:durableId="1389382411">
    <w:abstractNumId w:val="39"/>
  </w:num>
  <w:num w:numId="44" w16cid:durableId="608975387">
    <w:abstractNumId w:val="19"/>
  </w:num>
  <w:num w:numId="45" w16cid:durableId="77678656">
    <w:abstractNumId w:val="48"/>
  </w:num>
  <w:num w:numId="46" w16cid:durableId="168758274">
    <w:abstractNumId w:val="38"/>
  </w:num>
  <w:num w:numId="47" w16cid:durableId="1247224458">
    <w:abstractNumId w:val="31"/>
  </w:num>
  <w:num w:numId="48" w16cid:durableId="437212441">
    <w:abstractNumId w:val="18"/>
  </w:num>
  <w:num w:numId="49" w16cid:durableId="1095831192">
    <w:abstractNumId w:val="49"/>
  </w:num>
  <w:num w:numId="50" w16cid:durableId="204999017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6816"/>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1EB"/>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147"/>
    <w:rsid w:val="000F2443"/>
    <w:rsid w:val="000F274E"/>
    <w:rsid w:val="000F27E1"/>
    <w:rsid w:val="000F330C"/>
    <w:rsid w:val="000F4953"/>
    <w:rsid w:val="000F5A28"/>
    <w:rsid w:val="000F5BBC"/>
    <w:rsid w:val="000F687B"/>
    <w:rsid w:val="000F75AD"/>
    <w:rsid w:val="000F75F1"/>
    <w:rsid w:val="000F7C86"/>
    <w:rsid w:val="0010078F"/>
    <w:rsid w:val="00102DF4"/>
    <w:rsid w:val="0011085D"/>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56AB9"/>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1586"/>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84D83"/>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1D74"/>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C6A"/>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4296"/>
    <w:rsid w:val="00346522"/>
    <w:rsid w:val="00347B43"/>
    <w:rsid w:val="0035034F"/>
    <w:rsid w:val="00351441"/>
    <w:rsid w:val="003519AF"/>
    <w:rsid w:val="003524F1"/>
    <w:rsid w:val="00352768"/>
    <w:rsid w:val="00352D8D"/>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004D"/>
    <w:rsid w:val="004113D5"/>
    <w:rsid w:val="004118D0"/>
    <w:rsid w:val="004125BB"/>
    <w:rsid w:val="00412615"/>
    <w:rsid w:val="00412819"/>
    <w:rsid w:val="0041337E"/>
    <w:rsid w:val="004177E3"/>
    <w:rsid w:val="004202CB"/>
    <w:rsid w:val="004205FB"/>
    <w:rsid w:val="00420D53"/>
    <w:rsid w:val="004224B6"/>
    <w:rsid w:val="004235A0"/>
    <w:rsid w:val="004238B6"/>
    <w:rsid w:val="00423C1E"/>
    <w:rsid w:val="00423C6F"/>
    <w:rsid w:val="00424771"/>
    <w:rsid w:val="00425B35"/>
    <w:rsid w:val="004273ED"/>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3E14"/>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2620"/>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5AA9"/>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3E33"/>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31D9"/>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33D"/>
    <w:rsid w:val="00750405"/>
    <w:rsid w:val="007507C1"/>
    <w:rsid w:val="00751546"/>
    <w:rsid w:val="007541CE"/>
    <w:rsid w:val="007545E5"/>
    <w:rsid w:val="00755577"/>
    <w:rsid w:val="00755878"/>
    <w:rsid w:val="00756B91"/>
    <w:rsid w:val="00757E96"/>
    <w:rsid w:val="00760A86"/>
    <w:rsid w:val="00764A53"/>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62B9"/>
    <w:rsid w:val="007C730D"/>
    <w:rsid w:val="007C7393"/>
    <w:rsid w:val="007D0C6A"/>
    <w:rsid w:val="007D391B"/>
    <w:rsid w:val="007D3B29"/>
    <w:rsid w:val="007D43E6"/>
    <w:rsid w:val="007D4EC6"/>
    <w:rsid w:val="007D5CD8"/>
    <w:rsid w:val="007D613C"/>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3C3C"/>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04B"/>
    <w:rsid w:val="00900CE5"/>
    <w:rsid w:val="00901E9B"/>
    <w:rsid w:val="00902BBA"/>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24EA"/>
    <w:rsid w:val="00963A1A"/>
    <w:rsid w:val="00963E1E"/>
    <w:rsid w:val="00964590"/>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85F03"/>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3438A"/>
    <w:rsid w:val="00D404D5"/>
    <w:rsid w:val="00D40A73"/>
    <w:rsid w:val="00D40EA0"/>
    <w:rsid w:val="00D41193"/>
    <w:rsid w:val="00D4162D"/>
    <w:rsid w:val="00D4240E"/>
    <w:rsid w:val="00D42F1B"/>
    <w:rsid w:val="00D4392D"/>
    <w:rsid w:val="00D45F62"/>
    <w:rsid w:val="00D5110F"/>
    <w:rsid w:val="00D513E0"/>
    <w:rsid w:val="00D5168F"/>
    <w:rsid w:val="00D524BC"/>
    <w:rsid w:val="00D541BE"/>
    <w:rsid w:val="00D546FB"/>
    <w:rsid w:val="00D550D9"/>
    <w:rsid w:val="00D567C0"/>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27D73"/>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163B"/>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9341</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10903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2025-01-24T07:42:00Z</dcterms:created>
  <dcterms:modified xsi:type="dcterms:W3CDTF">2025-01-24T07:42:00Z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